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555555"/>
          <w:sz w:val="24"/>
          <w:szCs w:val="24"/>
          <w:highlight w:val="white"/>
          <w:rtl w:val="0"/>
        </w:rPr>
        <w:t xml:space="preserve">Session 1</w:t>
      </w: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555555"/>
          <w:sz w:val="24"/>
          <w:szCs w:val="24"/>
          <w:highlight w:val="white"/>
          <w:rtl w:val="0"/>
        </w:rPr>
        <w:t xml:space="preserve">Imagining Possibilities for Transformative Twelver Shia Politics </w:t>
      </w: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(Thursday, January 5 @ 7:00 PM - 8:15 PM)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Convener: </w:t>
      </w: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Shereen Yousuf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Participants: Samaah Jaffer, Narjis Nichole, Laila Taqueer, Halema Wali, Muhammad Yousuf,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Discussant: Maryam Kashani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555555"/>
          <w:sz w:val="24"/>
          <w:szCs w:val="24"/>
          <w:highlight w:val="white"/>
          <w:rtl w:val="0"/>
        </w:rPr>
        <w:t xml:space="preserve">Session 2:</w:t>
      </w: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55555"/>
          <w:sz w:val="24"/>
          <w:szCs w:val="24"/>
          <w:highlight w:val="white"/>
          <w:rtl w:val="0"/>
        </w:rPr>
        <w:t xml:space="preserve">Health, the Body, and Scientific Ethics </w:t>
      </w: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Friday, January 6 @ 11:00 AM - 12:15 PM)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Convener: TBD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Ayman Shabana, Between Amelioration and Alteration of God’s Creation: Islamic Discussions on Human Bodily Modifications]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Aasim Padela, Maqāṣidī Models for an “Islamic” Medical Ethics: Problem-Solving or Confusing at the Bedside?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[Khalid Elzamzamy, Corporal Punishment and Child Abuse: Islamic and Mental Health Ethical Perspectives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Harald Viersen, Flattening the moral landscape: Aḥmad Amīn’s Book of Ethics and the introduction of a scientific ethical vocabulary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555555"/>
          <w:sz w:val="24"/>
          <w:szCs w:val="24"/>
          <w:highlight w:val="white"/>
          <w:rtl w:val="0"/>
        </w:rPr>
        <w:t xml:space="preserve">Session 3: The Body in Muslim Ethics </w:t>
      </w: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(Friday, January 6 @ 3:30 PM - 4:45 PM)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Convener: </w:t>
      </w: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Juliane Hammer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Nuri Friedlander, Between Anger and Justice: Finding a Place for Muslim Rage in Anti-Racist Struggle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Dana Lee, Inviolability, Value, and the Human Body in the Islamic Legal Tradition: The Case of Necessity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Arafat A. Razzaque, Disgust in Early Islamic Thought: Moral Aversion and the Decomposing Body in Zuhd Traditions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Joseph Leonardo Vignone, Rest Your Hearts, That They Might Better Remember’: Memory and the Health of the Human Heart in Medieval Islamic Ethics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Raissa von Doetinchem de Rande, Classical Islamic Philosophy and the Gendered Perfection of Bodies and Minds: Engaging a Complex Discourse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555555"/>
          <w:sz w:val="24"/>
          <w:szCs w:val="24"/>
          <w:highlight w:val="white"/>
          <w:rtl w:val="0"/>
        </w:rPr>
        <w:t xml:space="preserve">Session 4: Gender and Sexual Ethics</w:t>
      </w: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 (Saturday, January 7 @ 1:30 PM - 2:45 PM)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Convener: TBD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Nadiah Mohajir, Responding with RAHMA: Removing Roadblocks for Muslim Survivors of Sexual Violence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Kiran Waqar, Nadia Mohajir? Let’s Talk About Sex: Reclaiming Sex Positivity through a Sexual Ethics Framework for Muslims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Sobia Hamid Bhat, Varied Experiences of Muslim Ritual Prayer (Salat) among Muslim Women: Ethnographic Case Studies from the Militarised Zone of Kashmir.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Syed Atif Rizwan, Responsibility, Culpability, and Punishment: The Principle of Iḥṣān in Islamic Law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555555"/>
          <w:sz w:val="24"/>
          <w:szCs w:val="24"/>
          <w:highlight w:val="white"/>
          <w:rtl w:val="0"/>
        </w:rPr>
        <w:t xml:space="preserve">Session 5: Strangers, Otherness, and Diversity</w:t>
      </w: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 (Saturday, January 7 @ 4:15 PM - 5:30 PM)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Convener: TBD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Aseel Azab, Blessed Be the Strangers: An Islamic Ethical Framework for Eschatological Time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Kamal Gasimov, The ethics of “positive thinking” as a spiritual exercise and theological method in the sixteenth-century Sufism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R. David Coolidge, Plain Living, High Thinking: al-Qushayrī's Concept of Zuhd in Light of Rūpa Gosvāmī's Upadeśāmṛta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555555"/>
          <w:sz w:val="24"/>
          <w:szCs w:val="24"/>
          <w:highlight w:val="white"/>
          <w:rtl w:val="0"/>
        </w:rPr>
        <w:t xml:space="preserve">Session 6: Ethics, Resistance, and the Public Sphere </w:t>
      </w: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(Sunday, January 8 @ 9:00 AM - 10:15 AM)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Convener: TBD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Mujahid Osman, Queering Jihad: Islamic Praxis in South Africa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Safiya Bukhari: Rethinking Agency, Resistance, and Self-Cultivation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Omar Awass, Fatwas, Muslim Ethical Subjectivity, and the Formation of an Islamic Moral Field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color w:val="555555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highlight w:val="white"/>
          <w:rtl w:val="0"/>
        </w:rPr>
        <w:t xml:space="preserve">Firooz Jafari, The Medieval Islamic Ethics and The Virtue of Obedience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